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6B5B3C" w:rsidRPr="000E086C">
        <w:rPr>
          <w:noProof/>
          <w:szCs w:val="24"/>
        </w:rPr>
        <w:t>Nenna Syahputri Ssi, Msi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6B5B3C" w:rsidRPr="000E086C">
        <w:rPr>
          <w:noProof/>
          <w:szCs w:val="24"/>
        </w:rPr>
        <w:t>Aljabar Linier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6B5B3C" w:rsidRPr="000E086C">
        <w:rPr>
          <w:noProof/>
          <w:szCs w:val="24"/>
        </w:rPr>
        <w:t>III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6B5B3C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6B5B3C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B5B3C" w:rsidRPr="000E086C">
              <w:rPr>
                <w:noProof/>
                <w:color w:val="000000"/>
                <w:sz w:val="22"/>
                <w:szCs w:val="22"/>
              </w:rPr>
              <w:t>Aljabar Linier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B5B3C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B5B3C" w:rsidRPr="000E086C">
              <w:rPr>
                <w:noProof/>
                <w:color w:val="000000"/>
                <w:sz w:val="22"/>
                <w:szCs w:val="22"/>
              </w:rPr>
              <w:t>Nenna Syahputri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B5B3C" w:rsidRPr="000E086C">
              <w:rPr>
                <w:noProof/>
                <w:color w:val="000000"/>
                <w:sz w:val="22"/>
                <w:szCs w:val="22"/>
              </w:rPr>
              <w:t>Eben Ezer Sitanggang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B5B3C" w:rsidRPr="000E086C">
              <w:rPr>
                <w:noProof/>
                <w:color w:val="000000"/>
                <w:sz w:val="22"/>
                <w:szCs w:val="22"/>
              </w:rPr>
              <w:t>198150081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B3C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0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1FE7-1432-4071-9878-7853410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2023-07-29T02:56:00Z</dcterms:created>
  <dcterms:modified xsi:type="dcterms:W3CDTF">2023-07-29T02:56:00Z</dcterms:modified>
</cp:coreProperties>
</file>