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82039" w:rsidRPr="00B82039">
        <w:rPr>
          <w:rFonts w:ascii="Times New Roman" w:hAnsi="Times New Roman"/>
          <w:noProof/>
          <w:sz w:val="24"/>
          <w:szCs w:val="24"/>
        </w:rPr>
        <w:t>Dr. Ir. Haniza 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82039" w:rsidRPr="00B82039">
        <w:rPr>
          <w:rFonts w:ascii="Times New Roman" w:hAnsi="Times New Roman"/>
          <w:noProof/>
          <w:sz w:val="24"/>
          <w:szCs w:val="24"/>
        </w:rPr>
        <w:t>Analisa Dan Perancangan Perusahaan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B82039" w:rsidRPr="00B82039">
        <w:rPr>
          <w:rFonts w:ascii="Times New Roman" w:hAnsi="Times New Roman"/>
          <w:noProof/>
          <w:sz w:val="24"/>
          <w:szCs w:val="24"/>
        </w:rPr>
        <w:t>VII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82039" w:rsidRPr="00B82039">
        <w:rPr>
          <w:rFonts w:ascii="Times New Roman" w:hAnsi="Times New Roman"/>
          <w:noProof/>
          <w:sz w:val="24"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  <w:bookmarkStart w:id="0" w:name="_GoBack"/>
      <w:bookmarkEnd w:id="0"/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>Waktu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82039" w:rsidRPr="00B82039">
        <w:rPr>
          <w:rFonts w:ascii="Times New Roman" w:hAnsi="Times New Roman"/>
          <w:noProof/>
          <w:sz w:val="24"/>
          <w:szCs w:val="24"/>
        </w:rPr>
        <w:t>08.30 - 10.10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82039" w:rsidRPr="000E086C">
              <w:rPr>
                <w:noProof/>
                <w:color w:val="000000"/>
                <w:sz w:val="22"/>
                <w:szCs w:val="22"/>
              </w:rPr>
              <w:t>Analisa Dan Perancangan Perusahaan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82039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82039" w:rsidRPr="000E086C">
              <w:rPr>
                <w:noProof/>
                <w:color w:val="000000"/>
                <w:sz w:val="22"/>
                <w:szCs w:val="22"/>
              </w:rPr>
              <w:t>Dr. Ir. Haniza 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82039" w:rsidRPr="000E086C">
              <w:rPr>
                <w:noProof/>
                <w:color w:val="000000"/>
                <w:sz w:val="22"/>
                <w:szCs w:val="22"/>
              </w:rPr>
              <w:t>Maulana Affan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82039" w:rsidRPr="000E086C">
              <w:rPr>
                <w:noProof/>
                <w:color w:val="000000"/>
                <w:sz w:val="22"/>
                <w:szCs w:val="22"/>
              </w:rPr>
              <w:t>198150047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82039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53A94"/>
    <w:rsid w:val="00B82039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D804-5A79-4016-925C-CD6AC11F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2023-07-29T02:55:00Z</dcterms:created>
  <dcterms:modified xsi:type="dcterms:W3CDTF">2023-07-29T02:55:00Z</dcterms:modified>
</cp:coreProperties>
</file>