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CAF34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2D1F71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31711E" w:rsidRPr="0059015E">
        <w:rPr>
          <w:rFonts w:ascii="Arial Narrow" w:hAnsi="Arial Narrow"/>
          <w:noProof/>
          <w:sz w:val="24"/>
          <w:szCs w:val="24"/>
        </w:rPr>
        <w:t>KEWARGANEGARAAN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7F69C5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proofErr w:type="spellStart"/>
      <w:r w:rsidR="00C57A8C">
        <w:rPr>
          <w:rFonts w:ascii="Arial Narrow" w:hAnsi="Arial Narrow"/>
          <w:sz w:val="24"/>
          <w:szCs w:val="24"/>
        </w:rPr>
        <w:t>Teknik</w:t>
      </w:r>
      <w:proofErr w:type="spellEnd"/>
      <w:r w:rsidR="00C57A8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57A8C">
        <w:rPr>
          <w:rFonts w:ascii="Arial Narrow" w:hAnsi="Arial Narrow"/>
          <w:sz w:val="24"/>
          <w:szCs w:val="24"/>
        </w:rPr>
        <w:t>Industri</w:t>
      </w:r>
      <w:proofErr w:type="spellEnd"/>
    </w:p>
    <w:p w14:paraId="31F519FD" w14:textId="6830970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31711E" w:rsidRPr="0059015E">
        <w:rPr>
          <w:rFonts w:ascii="Arial Narrow" w:hAnsi="Arial Narrow"/>
          <w:noProof/>
          <w:sz w:val="24"/>
          <w:szCs w:val="24"/>
        </w:rPr>
        <w:t>Murad Daeng Patiorang SH, MH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352836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31711E" w:rsidRPr="0059015E">
        <w:rPr>
          <w:rFonts w:ascii="Arial Narrow" w:hAnsi="Arial Narrow"/>
          <w:bCs/>
          <w:noProof/>
          <w:sz w:val="24"/>
          <w:szCs w:val="24"/>
        </w:rPr>
        <w:t>Rabu, 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62A9650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31711E" w:rsidRPr="0059015E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88D5DC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31711E" w:rsidRPr="0059015E">
        <w:rPr>
          <w:rFonts w:ascii="Arial Narrow" w:hAnsi="Arial Narrow"/>
          <w:noProof/>
          <w:sz w:val="24"/>
          <w:szCs w:val="24"/>
        </w:rPr>
        <w:t>10.10 - 11.50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14D8E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131A8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MULADI TAMBUNAN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C4082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198150053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554BB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4352BA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4F962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25B57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3ABBF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CBE42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E8E5F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6F808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B83BF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53FE5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9FF36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03EEF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0608D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78A80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3C717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A30DC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EB404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41543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DE4F5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C8154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211BC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7964D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51B9E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2DBE1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7909D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DC644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CF738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3ED4D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02A46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02D6F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24690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032DC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B5A05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4C580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6795B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328E4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78423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13B00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B10B0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1BD37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60BB78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5387A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F43FD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6D671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42FC2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4A91E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E05EA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1A73C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FEA27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5A714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017B8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BB798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BB475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39A4A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34FA4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130C6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7A714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27EF2BF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31711E" w:rsidRPr="0059015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Murad Daeng Patiorang SH, MH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6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162FEA"/>
    <w:rsid w:val="001C6732"/>
    <w:rsid w:val="001E03A8"/>
    <w:rsid w:val="0031711E"/>
    <w:rsid w:val="0039596A"/>
    <w:rsid w:val="004E0D1C"/>
    <w:rsid w:val="00510CC4"/>
    <w:rsid w:val="00594C79"/>
    <w:rsid w:val="00595A63"/>
    <w:rsid w:val="005E3368"/>
    <w:rsid w:val="0060505E"/>
    <w:rsid w:val="00675EE3"/>
    <w:rsid w:val="0069669E"/>
    <w:rsid w:val="00876D22"/>
    <w:rsid w:val="008C277D"/>
    <w:rsid w:val="00972447"/>
    <w:rsid w:val="009D25C1"/>
    <w:rsid w:val="00A13726"/>
    <w:rsid w:val="00B45A14"/>
    <w:rsid w:val="00BA5CF4"/>
    <w:rsid w:val="00BB35EE"/>
    <w:rsid w:val="00C0240E"/>
    <w:rsid w:val="00C3410D"/>
    <w:rsid w:val="00C57A8C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2022-08-02T04:24:00Z</dcterms:created>
  <dcterms:modified xsi:type="dcterms:W3CDTF">2022-08-02T04:24:00Z</dcterms:modified>
</cp:coreProperties>
</file>